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34F98" w14:textId="575D6D2A" w:rsidR="00196869" w:rsidRPr="0052548E" w:rsidRDefault="00196869" w:rsidP="00196869">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C15C00">
        <w:rPr>
          <w:rFonts w:ascii="Arial" w:hAnsi="Arial" w:cs="Arial"/>
          <w:b/>
          <w:bCs/>
          <w:sz w:val="28"/>
        </w:rPr>
        <w:t>03449</w:t>
      </w:r>
    </w:p>
    <w:p w14:paraId="67E14033" w14:textId="77777777" w:rsidR="00196869" w:rsidRPr="009513AC" w:rsidRDefault="00196869" w:rsidP="00196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FD137F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A865BE">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4900A411"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A865BE">
        <w:rPr>
          <w:rFonts w:ascii="Arial" w:hAnsi="Arial" w:cs="Arial"/>
          <w:b/>
          <w:bCs/>
        </w:rPr>
        <w:t>s</w:t>
      </w:r>
      <w:r w:rsidR="0094768B">
        <w:rPr>
          <w:rFonts w:ascii="Arial" w:hAnsi="Arial" w:cs="Arial"/>
          <w:b/>
          <w:bCs/>
        </w:rPr>
        <w:t xml:space="preserve"> on </w:t>
      </w:r>
      <w:r w:rsidR="00A865BE">
        <w:rPr>
          <w:rFonts w:ascii="Arial" w:hAnsi="Arial" w:cs="Arial"/>
          <w:b/>
          <w:bCs/>
        </w:rPr>
        <w:t>PDCCH monitoring enhancements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2F9D2494" w14:textId="57AA2490" w:rsidR="00196869" w:rsidRDefault="00196869" w:rsidP="00196869">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Pr>
          <w:rFonts w:ascii="Arial" w:hAnsi="Arial" w:cs="Arial"/>
        </w:rPr>
        <w:t>104</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following agreements on PDCCH monitoring enhancements were made:</w:t>
      </w:r>
    </w:p>
    <w:tbl>
      <w:tblPr>
        <w:tblStyle w:val="TableGrid"/>
        <w:tblW w:w="0" w:type="auto"/>
        <w:tblLook w:val="04A0" w:firstRow="1" w:lastRow="0" w:firstColumn="1" w:lastColumn="0" w:noHBand="0" w:noVBand="1"/>
      </w:tblPr>
      <w:tblGrid>
        <w:gridCol w:w="9962"/>
      </w:tblGrid>
      <w:tr w:rsidR="00196869" w14:paraId="2F5D4F62" w14:textId="77777777" w:rsidTr="00196869">
        <w:tc>
          <w:tcPr>
            <w:tcW w:w="9962" w:type="dxa"/>
          </w:tcPr>
          <w:p w14:paraId="7ACAA99F" w14:textId="77777777" w:rsidR="00196869" w:rsidRPr="00196869" w:rsidRDefault="00196869" w:rsidP="00196869">
            <w:pPr>
              <w:spacing w:after="0" w:line="240" w:lineRule="auto"/>
              <w:ind w:left="1440" w:hanging="1440"/>
              <w:rPr>
                <w:rFonts w:ascii="Times" w:eastAsia="Batang" w:hAnsi="Times" w:cs="Times New Roman"/>
                <w:sz w:val="20"/>
                <w:szCs w:val="24"/>
                <w:lang w:val="en-GB" w:eastAsia="x-none"/>
              </w:rPr>
            </w:pPr>
            <w:r w:rsidRPr="00196869">
              <w:rPr>
                <w:rFonts w:ascii="Times" w:eastAsia="Batang" w:hAnsi="Times" w:cs="Times New Roman"/>
                <w:sz w:val="20"/>
                <w:szCs w:val="24"/>
                <w:highlight w:val="green"/>
                <w:lang w:val="en-GB" w:eastAsia="x-none"/>
              </w:rPr>
              <w:t>Agreement:</w:t>
            </w:r>
          </w:p>
          <w:p w14:paraId="4BDA43D4" w14:textId="77777777" w:rsidR="00196869" w:rsidRPr="00196869" w:rsidRDefault="00196869" w:rsidP="00196869">
            <w:pPr>
              <w:spacing w:after="0" w:line="240" w:lineRule="auto"/>
              <w:ind w:left="1440" w:hanging="1440"/>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Choose one of the following alternatives for defining the multi-slot PDCCH monitoring capability</w:t>
            </w:r>
          </w:p>
          <w:p w14:paraId="0F68FAA7" w14:textId="77777777" w:rsidR="00196869" w:rsidRPr="00196869" w:rsidRDefault="00196869" w:rsidP="00196869">
            <w:pPr>
              <w:numPr>
                <w:ilvl w:val="0"/>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 xml:space="preserve">Alt 1: A fixed pattern of N slots. </w:t>
            </w:r>
          </w:p>
          <w:p w14:paraId="49649BF4" w14:textId="77777777" w:rsidR="00196869" w:rsidRPr="00196869" w:rsidRDefault="00196869" w:rsidP="00196869">
            <w:pPr>
              <w:numPr>
                <w:ilvl w:val="0"/>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Alt 2: Use the Rel-16 capability (</w:t>
            </w:r>
            <w:r w:rsidRPr="00196869">
              <w:rPr>
                <w:rFonts w:ascii="Times" w:eastAsia="Batang" w:hAnsi="Times" w:cs="Times New Roman"/>
                <w:i/>
                <w:iCs/>
                <w:sz w:val="20"/>
                <w:szCs w:val="24"/>
                <w:lang w:val="en-GB" w:eastAsia="x-none"/>
              </w:rPr>
              <w:t>pdcch-Monitoring-r16</w:t>
            </w:r>
            <w:r w:rsidRPr="00196869">
              <w:rPr>
                <w:rFonts w:ascii="Times" w:eastAsia="Batang" w:hAnsi="Times" w:cs="Times New Roman"/>
                <w:sz w:val="20"/>
                <w:szCs w:val="24"/>
                <w:lang w:val="en-GB" w:eastAsia="x-none"/>
              </w:rPr>
              <w:t>, (X, Y) span) as the baseline to define the new capability</w:t>
            </w:r>
          </w:p>
          <w:p w14:paraId="33BFBDD4" w14:textId="77777777" w:rsidR="00196869" w:rsidRPr="00196869" w:rsidRDefault="00196869" w:rsidP="00196869">
            <w:pPr>
              <w:numPr>
                <w:ilvl w:val="1"/>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 xml:space="preserve">FFS: Values of X and Y and units in which they are defined </w:t>
            </w:r>
          </w:p>
          <w:p w14:paraId="5DE22DDA" w14:textId="77777777" w:rsidR="00196869" w:rsidRPr="00196869" w:rsidRDefault="00196869" w:rsidP="00196869">
            <w:pPr>
              <w:numPr>
                <w:ilvl w:val="1"/>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FFS: Whether number of slots within which the number of monitoring occasions is counted is needed and if needed, the value of the number of slots</w:t>
            </w:r>
          </w:p>
          <w:p w14:paraId="4905FB1B" w14:textId="77777777" w:rsidR="00196869" w:rsidRPr="00196869" w:rsidRDefault="00196869" w:rsidP="00196869">
            <w:pPr>
              <w:numPr>
                <w:ilvl w:val="0"/>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 xml:space="preserve">Alt 3: A sliding window of N slots for defining multi-slot PDCCH monitoring capability. </w:t>
            </w:r>
          </w:p>
          <w:p w14:paraId="057F1EC4" w14:textId="77777777" w:rsidR="00196869" w:rsidRPr="00196869" w:rsidRDefault="00196869" w:rsidP="00196869">
            <w:pPr>
              <w:numPr>
                <w:ilvl w:val="1"/>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FFS: Increments in which sliding occurs</w:t>
            </w:r>
          </w:p>
          <w:p w14:paraId="78CC0484" w14:textId="77777777" w:rsidR="00196869" w:rsidRPr="00196869" w:rsidRDefault="00196869" w:rsidP="00196869">
            <w:pPr>
              <w:numPr>
                <w:ilvl w:val="0"/>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Specific numbers for X, Y and N may depend on UE capability and gNB configuration</w:t>
            </w:r>
          </w:p>
          <w:p w14:paraId="45D62873" w14:textId="77777777" w:rsidR="00196869" w:rsidRPr="00196869" w:rsidRDefault="00196869" w:rsidP="00196869">
            <w:pPr>
              <w:numPr>
                <w:ilvl w:val="1"/>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 xml:space="preserve">Examples: </w:t>
            </w:r>
          </w:p>
          <w:p w14:paraId="43DA9E37" w14:textId="77777777" w:rsidR="00196869" w:rsidRPr="00196869" w:rsidRDefault="00196869" w:rsidP="00196869">
            <w:pPr>
              <w:numPr>
                <w:ilvl w:val="2"/>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N = [4] slots for 480 kHz SCS and N = [8] slots for 960 kHz SCS</w:t>
            </w:r>
          </w:p>
          <w:p w14:paraId="7C10E63B" w14:textId="250C7B10" w:rsidR="00196869" w:rsidRPr="00372577" w:rsidRDefault="00196869" w:rsidP="00372577">
            <w:pPr>
              <w:numPr>
                <w:ilvl w:val="2"/>
                <w:numId w:val="49"/>
              </w:numPr>
              <w:snapToGrid w:val="0"/>
              <w:spacing w:after="0" w:line="240" w:lineRule="auto"/>
              <w:rPr>
                <w:rFonts w:ascii="Times" w:eastAsia="Batang" w:hAnsi="Times" w:cs="Times New Roman"/>
                <w:sz w:val="20"/>
                <w:szCs w:val="24"/>
                <w:lang w:val="en-GB" w:eastAsia="x-none"/>
              </w:rPr>
            </w:pPr>
            <w:r w:rsidRPr="00196869">
              <w:rPr>
                <w:rFonts w:ascii="Times" w:eastAsia="Batang" w:hAnsi="Times" w:cs="Times New Roman"/>
                <w:sz w:val="20"/>
                <w:szCs w:val="24"/>
                <w:lang w:val="en-GB" w:eastAsia="x-none"/>
              </w:rPr>
              <w:t>X = [4] slots for 480 kHz SCS and X = [8] slots for 960 kHz SCS</w:t>
            </w:r>
          </w:p>
        </w:tc>
      </w:tr>
    </w:tbl>
    <w:p w14:paraId="427332A6" w14:textId="77777777" w:rsidR="00196869" w:rsidRDefault="00196869" w:rsidP="007378C4">
      <w:pPr>
        <w:spacing w:line="276" w:lineRule="auto"/>
        <w:jc w:val="both"/>
        <w:rPr>
          <w:rFonts w:ascii="Arial" w:hAnsi="Arial" w:cs="Arial"/>
        </w:rPr>
      </w:pPr>
    </w:p>
    <w:p w14:paraId="765FB366" w14:textId="473474D7"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214E4F">
        <w:rPr>
          <w:rFonts w:ascii="Arial" w:hAnsi="Arial" w:cs="Arial"/>
        </w:rPr>
        <w:t>on</w:t>
      </w:r>
      <w:r>
        <w:rPr>
          <w:rFonts w:ascii="Arial" w:hAnsi="Arial" w:cs="Arial"/>
        </w:rPr>
        <w:t xml:space="preserve"> </w:t>
      </w:r>
      <w:r w:rsidR="00CA6094">
        <w:rPr>
          <w:rFonts w:ascii="Arial" w:hAnsi="Arial" w:cs="Arial"/>
        </w:rPr>
        <w:t>PDCCH monitoring</w:t>
      </w:r>
      <w:r>
        <w:rPr>
          <w:rFonts w:ascii="Arial" w:hAnsi="Arial" w:cs="Arial"/>
        </w:rPr>
        <w:t xml:space="preserve"> for new SCSs in 52.6 </w:t>
      </w:r>
      <w:r w:rsidR="00375955">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1E23A0">
      <w:pPr>
        <w:pStyle w:val="Heading1"/>
        <w:pBdr>
          <w:top w:val="single" w:sz="12" w:space="5" w:color="auto"/>
        </w:pBdr>
        <w:spacing w:after="120"/>
        <w:rPr>
          <w:rFonts w:cs="Arial"/>
          <w:b/>
          <w:sz w:val="32"/>
          <w:szCs w:val="32"/>
        </w:rPr>
      </w:pPr>
      <w:r>
        <w:rPr>
          <w:rFonts w:cs="Arial"/>
          <w:b/>
          <w:sz w:val="32"/>
          <w:szCs w:val="32"/>
        </w:rPr>
        <w:t>Discussions</w:t>
      </w:r>
    </w:p>
    <w:p w14:paraId="65E49E8E" w14:textId="304A99F6" w:rsidR="002D3BE4" w:rsidRDefault="00FC35B9" w:rsidP="00C34BA3">
      <w:pPr>
        <w:spacing w:after="120" w:line="276" w:lineRule="auto"/>
        <w:jc w:val="both"/>
        <w:rPr>
          <w:rFonts w:ascii="Arial" w:eastAsia="Calibri" w:hAnsi="Arial" w:cs="Arial"/>
          <w:bCs/>
        </w:rPr>
      </w:pPr>
      <w:r>
        <w:rPr>
          <w:rFonts w:ascii="Arial" w:eastAsia="Calibri" w:hAnsi="Arial" w:cs="Arial"/>
          <w:bCs/>
        </w:rPr>
        <w:t xml:space="preserve">During RAN study item on requirements for NR beyond 52.6 GHz [2], various benefits of 52.6 – 71 GHz such as </w:t>
      </w:r>
      <w:proofErr w:type="gramStart"/>
      <w:r>
        <w:rPr>
          <w:rFonts w:ascii="Arial" w:eastAsia="Calibri" w:hAnsi="Arial" w:cs="Arial"/>
          <w:bCs/>
        </w:rPr>
        <w:t>high speed</w:t>
      </w:r>
      <w:proofErr w:type="gramEnd"/>
      <w:r>
        <w:rPr>
          <w:rFonts w:ascii="Arial" w:eastAsia="Calibri" w:hAnsi="Arial" w:cs="Arial"/>
          <w:bCs/>
        </w:rPr>
        <w:t xml:space="preserve"> data rate, low latency and high capacity </w:t>
      </w:r>
      <w:r w:rsidR="00714CFD">
        <w:rPr>
          <w:rFonts w:ascii="Arial" w:eastAsia="Calibri" w:hAnsi="Arial" w:cs="Arial"/>
          <w:bCs/>
        </w:rPr>
        <w:t xml:space="preserve">have been identified based on </w:t>
      </w:r>
      <w:r>
        <w:rPr>
          <w:rFonts w:ascii="Arial" w:eastAsia="Calibri" w:hAnsi="Arial" w:cs="Arial"/>
          <w:bCs/>
        </w:rPr>
        <w:t xml:space="preserve">the enormous amount of available contiguous bandwidth. Based on the </w:t>
      </w:r>
      <w:r w:rsidR="00E937A6">
        <w:rPr>
          <w:rFonts w:ascii="Arial" w:eastAsia="Calibri" w:hAnsi="Arial" w:cs="Arial"/>
          <w:bCs/>
        </w:rPr>
        <w:t xml:space="preserve">identified </w:t>
      </w:r>
      <w:r>
        <w:rPr>
          <w:rFonts w:ascii="Arial" w:eastAsia="Calibri" w:hAnsi="Arial" w:cs="Arial"/>
          <w:bCs/>
        </w:rPr>
        <w:t xml:space="preserve">benefits, various use cases for 52.6 – 71 GHz are </w:t>
      </w:r>
      <w:r w:rsidR="00714CFD">
        <w:rPr>
          <w:rFonts w:ascii="Arial" w:eastAsia="Calibri" w:hAnsi="Arial" w:cs="Arial"/>
          <w:bCs/>
        </w:rPr>
        <w:t xml:space="preserve">also </w:t>
      </w:r>
      <w:r>
        <w:rPr>
          <w:rFonts w:ascii="Arial" w:eastAsia="Calibri" w:hAnsi="Arial" w:cs="Arial"/>
          <w:bCs/>
        </w:rPr>
        <w:t>envisioned</w:t>
      </w:r>
      <w:r w:rsidR="00E937A6">
        <w:rPr>
          <w:rFonts w:ascii="Arial" w:eastAsia="Calibri" w:hAnsi="Arial" w:cs="Arial"/>
          <w:bCs/>
        </w:rPr>
        <w:t xml:space="preserve"> and</w:t>
      </w:r>
      <w:r w:rsidR="00714CFD">
        <w:rPr>
          <w:rFonts w:ascii="Arial" w:eastAsia="Calibri" w:hAnsi="Arial" w:cs="Arial"/>
          <w:bCs/>
        </w:rPr>
        <w:t xml:space="preserve"> </w:t>
      </w:r>
      <w:r w:rsidR="00C34BA3">
        <w:rPr>
          <w:rFonts w:ascii="Arial" w:eastAsia="Calibri" w:hAnsi="Arial" w:cs="Arial"/>
          <w:bCs/>
        </w:rPr>
        <w:t xml:space="preserve">most of the use cases such as </w:t>
      </w:r>
      <w:r>
        <w:rPr>
          <w:rFonts w:ascii="Arial" w:eastAsia="Calibri" w:hAnsi="Arial" w:cs="Arial"/>
          <w:bCs/>
        </w:rPr>
        <w:t xml:space="preserve">short-range high-data rate D2D, vertical industry factory application, </w:t>
      </w:r>
      <w:r w:rsidR="00C34BA3">
        <w:rPr>
          <w:rFonts w:ascii="Arial" w:eastAsia="Calibri" w:hAnsi="Arial" w:cs="Arial"/>
          <w:bCs/>
        </w:rPr>
        <w:t>IAB</w:t>
      </w:r>
      <w:r>
        <w:rPr>
          <w:rFonts w:ascii="Arial" w:eastAsia="Calibri" w:hAnsi="Arial" w:cs="Arial"/>
          <w:bCs/>
        </w:rPr>
        <w:t>, Factory automation/</w:t>
      </w:r>
      <w:proofErr w:type="spellStart"/>
      <w:r>
        <w:rPr>
          <w:rFonts w:ascii="Arial" w:eastAsia="Calibri" w:hAnsi="Arial" w:cs="Arial"/>
          <w:bCs/>
        </w:rPr>
        <w:t>IIoT</w:t>
      </w:r>
      <w:proofErr w:type="spellEnd"/>
      <w:r>
        <w:rPr>
          <w:rFonts w:ascii="Arial" w:eastAsia="Calibri" w:hAnsi="Arial" w:cs="Arial"/>
          <w:bCs/>
        </w:rPr>
        <w:t>, AR/V</w:t>
      </w:r>
      <w:r w:rsidR="00C34BA3">
        <w:rPr>
          <w:rFonts w:ascii="Arial" w:eastAsia="Calibri" w:hAnsi="Arial" w:cs="Arial"/>
          <w:bCs/>
        </w:rPr>
        <w:t>R</w:t>
      </w:r>
      <w:r>
        <w:rPr>
          <w:rFonts w:ascii="Arial" w:eastAsia="Calibri" w:hAnsi="Arial" w:cs="Arial"/>
          <w:bCs/>
        </w:rPr>
        <w:t>, I</w:t>
      </w:r>
      <w:r w:rsidR="00C34BA3">
        <w:rPr>
          <w:rFonts w:ascii="Arial" w:eastAsia="Calibri" w:hAnsi="Arial" w:cs="Arial"/>
          <w:bCs/>
        </w:rPr>
        <w:t>TS</w:t>
      </w:r>
      <w:r>
        <w:rPr>
          <w:rFonts w:ascii="Arial" w:eastAsia="Calibri" w:hAnsi="Arial" w:cs="Arial"/>
          <w:bCs/>
        </w:rPr>
        <w:t xml:space="preserve">/V2X and </w:t>
      </w:r>
      <w:r w:rsidR="00714CFD">
        <w:rPr>
          <w:rFonts w:ascii="Arial" w:eastAsia="Calibri" w:hAnsi="Arial" w:cs="Arial"/>
          <w:bCs/>
        </w:rPr>
        <w:t>c</w:t>
      </w:r>
      <w:r>
        <w:rPr>
          <w:rFonts w:ascii="Arial" w:eastAsia="Calibri" w:hAnsi="Arial" w:cs="Arial"/>
          <w:bCs/>
        </w:rPr>
        <w:t>ritical medical communication</w:t>
      </w:r>
      <w:r w:rsidR="00C34BA3">
        <w:rPr>
          <w:rFonts w:ascii="Arial" w:eastAsia="Calibri" w:hAnsi="Arial" w:cs="Arial"/>
          <w:bCs/>
        </w:rPr>
        <w:t xml:space="preserve"> require low latency as a key requirement</w:t>
      </w:r>
      <w:r>
        <w:rPr>
          <w:rFonts w:ascii="Arial" w:eastAsia="Calibri" w:hAnsi="Arial" w:cs="Arial"/>
          <w:bCs/>
        </w:rPr>
        <w:t>.</w:t>
      </w:r>
      <w:r w:rsidR="00C34BA3">
        <w:rPr>
          <w:rFonts w:ascii="Arial" w:eastAsia="Calibri" w:hAnsi="Arial" w:cs="Arial"/>
          <w:bCs/>
        </w:rPr>
        <w:t xml:space="preserve"> However, if NR only supports multi-slot based PDCCH monitoring</w:t>
      </w:r>
      <w:r w:rsidR="00FB2AF9">
        <w:rPr>
          <w:rFonts w:ascii="Arial" w:eastAsia="Calibri" w:hAnsi="Arial" w:cs="Arial"/>
          <w:bCs/>
        </w:rPr>
        <w:t xml:space="preserve"> for efficient signaling</w:t>
      </w:r>
      <w:r w:rsidR="00C34BA3">
        <w:rPr>
          <w:rFonts w:ascii="Arial" w:eastAsia="Calibri" w:hAnsi="Arial" w:cs="Arial"/>
          <w:bCs/>
        </w:rPr>
        <w:t xml:space="preserve">, benefits from low latency </w:t>
      </w:r>
      <w:r w:rsidR="00FB2AF9">
        <w:rPr>
          <w:rFonts w:ascii="Arial" w:eastAsia="Calibri" w:hAnsi="Arial" w:cs="Arial"/>
          <w:bCs/>
        </w:rPr>
        <w:t xml:space="preserve">possible use cases </w:t>
      </w:r>
      <w:r w:rsidR="00C34BA3">
        <w:rPr>
          <w:rFonts w:ascii="Arial" w:eastAsia="Calibri" w:hAnsi="Arial" w:cs="Arial"/>
          <w:bCs/>
        </w:rPr>
        <w:t xml:space="preserve">will be significantly reduced. </w:t>
      </w:r>
    </w:p>
    <w:p w14:paraId="2466050C" w14:textId="178B61DA" w:rsidR="00C34BA3" w:rsidRPr="00983ACF" w:rsidRDefault="00C34BA3" w:rsidP="00C34BA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FB2AF9">
        <w:rPr>
          <w:rFonts w:ascii="Arial" w:hAnsi="Arial" w:cs="Arial"/>
          <w:bCs/>
          <w:i/>
          <w:iCs/>
        </w:rPr>
        <w:t>For NR in 52.6 – 71 GHz, m</w:t>
      </w:r>
      <w:r>
        <w:rPr>
          <w:rFonts w:ascii="Arial" w:hAnsi="Arial" w:cs="Arial"/>
          <w:bCs/>
          <w:i/>
          <w:iCs/>
        </w:rPr>
        <w:t xml:space="preserve">ost of identified use cases require low latency </w:t>
      </w:r>
      <w:r w:rsidR="00FB2AF9">
        <w:rPr>
          <w:rFonts w:ascii="Arial" w:hAnsi="Arial" w:cs="Arial"/>
          <w:bCs/>
          <w:i/>
          <w:iCs/>
        </w:rPr>
        <w:t>as a key requirement</w:t>
      </w:r>
      <w:r>
        <w:rPr>
          <w:rFonts w:ascii="Arial" w:hAnsi="Arial" w:cs="Arial"/>
          <w:bCs/>
          <w:i/>
          <w:iCs/>
        </w:rPr>
        <w:t xml:space="preserve">, however, benefits from low latency </w:t>
      </w:r>
      <w:r w:rsidR="00FB2AF9">
        <w:rPr>
          <w:rFonts w:ascii="Arial" w:hAnsi="Arial" w:cs="Arial"/>
          <w:bCs/>
          <w:i/>
          <w:iCs/>
        </w:rPr>
        <w:t xml:space="preserve">and possible use cases significantly </w:t>
      </w:r>
      <w:r>
        <w:rPr>
          <w:rFonts w:ascii="Arial" w:hAnsi="Arial" w:cs="Arial"/>
          <w:bCs/>
          <w:i/>
          <w:iCs/>
        </w:rPr>
        <w:t xml:space="preserve">reduce if only multi-slot based PDCCH monitoring is supported. </w:t>
      </w:r>
    </w:p>
    <w:p w14:paraId="5BBF5276" w14:textId="02A175BF" w:rsidR="005B1D83" w:rsidRPr="005B1D83" w:rsidRDefault="00C34BA3" w:rsidP="00C34BA3">
      <w:pPr>
        <w:spacing w:after="120" w:line="276" w:lineRule="auto"/>
        <w:jc w:val="both"/>
        <w:rPr>
          <w:rFonts w:ascii="Arial" w:hAnsi="Arial" w:cs="Arial"/>
          <w:bCs/>
          <w:i/>
          <w:iCs/>
        </w:rPr>
      </w:pPr>
      <w:r w:rsidRPr="00983ACF">
        <w:rPr>
          <w:rFonts w:ascii="Arial" w:hAnsi="Arial" w:cs="Arial"/>
          <w:b/>
          <w:i/>
          <w:iCs/>
        </w:rPr>
        <w:lastRenderedPageBreak/>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Support both per-slot level monitoring and multi-slot level monitoring for transmission and reception</w:t>
      </w:r>
      <w:r w:rsidRPr="00791307">
        <w:rPr>
          <w:rFonts w:ascii="Arial" w:hAnsi="Arial" w:cs="Arial"/>
          <w:bCs/>
          <w:i/>
          <w:iCs/>
        </w:rPr>
        <w:t>.</w:t>
      </w:r>
    </w:p>
    <w:p w14:paraId="2BA54D43" w14:textId="62048A80" w:rsidR="00472A89" w:rsidRDefault="00472A89" w:rsidP="00C34BA3">
      <w:pPr>
        <w:spacing w:after="120" w:line="276" w:lineRule="auto"/>
        <w:jc w:val="both"/>
        <w:rPr>
          <w:rFonts w:ascii="Arial" w:eastAsia="Calibri" w:hAnsi="Arial" w:cs="Arial"/>
          <w:bCs/>
        </w:rPr>
      </w:pPr>
      <w:r>
        <w:rPr>
          <w:rFonts w:ascii="Arial" w:eastAsia="Calibri" w:hAnsi="Arial" w:cs="Arial"/>
          <w:bCs/>
        </w:rPr>
        <w:t xml:space="preserve">In contrast to </w:t>
      </w:r>
      <w:r w:rsidR="005B1D83">
        <w:rPr>
          <w:rFonts w:ascii="Arial" w:eastAsia="Calibri" w:hAnsi="Arial" w:cs="Arial"/>
          <w:bCs/>
        </w:rPr>
        <w:t xml:space="preserve">the </w:t>
      </w:r>
      <w:r w:rsidR="00034B70">
        <w:rPr>
          <w:rFonts w:ascii="Arial" w:eastAsia="Calibri" w:hAnsi="Arial" w:cs="Arial"/>
          <w:bCs/>
        </w:rPr>
        <w:t>existing</w:t>
      </w:r>
      <w:r>
        <w:rPr>
          <w:rFonts w:ascii="Arial" w:eastAsia="Calibri" w:hAnsi="Arial" w:cs="Arial"/>
          <w:bCs/>
        </w:rPr>
        <w:t xml:space="preserve"> SCS, per-slot level monitoring may lead to a more complex UE implementation</w:t>
      </w:r>
      <w:r w:rsidR="00C34163">
        <w:rPr>
          <w:rFonts w:ascii="Arial" w:eastAsia="Calibri" w:hAnsi="Arial" w:cs="Arial"/>
          <w:bCs/>
        </w:rPr>
        <w:t xml:space="preserve"> considering reduced slot durations and UE processing time</w:t>
      </w:r>
      <w:r>
        <w:rPr>
          <w:rFonts w:ascii="Arial" w:eastAsia="Calibri" w:hAnsi="Arial" w:cs="Arial"/>
          <w:bCs/>
        </w:rPr>
        <w:t xml:space="preserve">. Given that, it is desirable to have multi-slot level monitoring for general UE </w:t>
      </w:r>
      <w:r w:rsidR="00C34163">
        <w:rPr>
          <w:rFonts w:ascii="Arial" w:eastAsia="Calibri" w:hAnsi="Arial" w:cs="Arial"/>
          <w:bCs/>
        </w:rPr>
        <w:t>opera</w:t>
      </w:r>
      <w:r>
        <w:rPr>
          <w:rFonts w:ascii="Arial" w:eastAsia="Calibri" w:hAnsi="Arial" w:cs="Arial"/>
          <w:bCs/>
        </w:rPr>
        <w:t>tion</w:t>
      </w:r>
      <w:r w:rsidR="00BD4BE8">
        <w:rPr>
          <w:rFonts w:ascii="Arial" w:eastAsia="Calibri" w:hAnsi="Arial" w:cs="Arial"/>
          <w:bCs/>
        </w:rPr>
        <w:t>s</w:t>
      </w:r>
      <w:r>
        <w:rPr>
          <w:rFonts w:ascii="Arial" w:eastAsia="Calibri" w:hAnsi="Arial" w:cs="Arial"/>
          <w:bCs/>
        </w:rPr>
        <w:t xml:space="preserve"> e.g., high data rate </w:t>
      </w:r>
      <w:proofErr w:type="spellStart"/>
      <w:r>
        <w:rPr>
          <w:rFonts w:ascii="Arial" w:eastAsia="Calibri" w:hAnsi="Arial" w:cs="Arial"/>
          <w:bCs/>
        </w:rPr>
        <w:t>eMBB</w:t>
      </w:r>
      <w:proofErr w:type="spellEnd"/>
      <w:r>
        <w:rPr>
          <w:rFonts w:ascii="Arial" w:eastAsia="Calibri" w:hAnsi="Arial" w:cs="Arial"/>
          <w:bCs/>
        </w:rPr>
        <w:t xml:space="preserve"> and per-slot level monitoring </w:t>
      </w:r>
      <w:r w:rsidR="00BD4BE8">
        <w:rPr>
          <w:rFonts w:ascii="Arial" w:eastAsia="Calibri" w:hAnsi="Arial" w:cs="Arial"/>
          <w:bCs/>
        </w:rPr>
        <w:t>for</w:t>
      </w:r>
      <w:r>
        <w:rPr>
          <w:rFonts w:ascii="Arial" w:eastAsia="Calibri" w:hAnsi="Arial" w:cs="Arial"/>
          <w:bCs/>
        </w:rPr>
        <w:t xml:space="preserve"> UEs which require low latency. </w:t>
      </w:r>
    </w:p>
    <w:p w14:paraId="6BE17679" w14:textId="64AF50B9" w:rsidR="00BD4BE8" w:rsidRDefault="00472A89" w:rsidP="00472A89">
      <w:pPr>
        <w:spacing w:after="120" w:line="276" w:lineRule="auto"/>
        <w:jc w:val="both"/>
        <w:rPr>
          <w:rFonts w:ascii="Arial" w:hAnsi="Arial" w:cs="Arial"/>
          <w:bCs/>
          <w:i/>
          <w:iCs/>
        </w:rPr>
      </w:pPr>
      <w:r w:rsidRPr="00983ACF">
        <w:rPr>
          <w:rFonts w:ascii="Arial" w:hAnsi="Arial" w:cs="Arial"/>
          <w:b/>
          <w:i/>
          <w:iCs/>
        </w:rPr>
        <w:t xml:space="preserve">Observation </w:t>
      </w:r>
      <w:r w:rsidR="00EB15E6">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EB15E6">
        <w:rPr>
          <w:rFonts w:ascii="Arial" w:hAnsi="Arial" w:cs="Arial"/>
          <w:bCs/>
          <w:i/>
          <w:iCs/>
        </w:rPr>
        <w:t xml:space="preserve">Per-slot level monitoring requires </w:t>
      </w:r>
      <w:r w:rsidR="00BD4BE8">
        <w:rPr>
          <w:rFonts w:ascii="Arial" w:hAnsi="Arial" w:cs="Arial"/>
          <w:bCs/>
          <w:i/>
          <w:iCs/>
        </w:rPr>
        <w:t xml:space="preserve">a more complex UE implementation due to reduced slot durations of </w:t>
      </w:r>
      <w:r w:rsidR="00034B70">
        <w:rPr>
          <w:rFonts w:ascii="Arial" w:hAnsi="Arial" w:cs="Arial"/>
          <w:bCs/>
          <w:i/>
          <w:iCs/>
        </w:rPr>
        <w:t>additional</w:t>
      </w:r>
      <w:r w:rsidR="00BD4BE8">
        <w:rPr>
          <w:rFonts w:ascii="Arial" w:hAnsi="Arial" w:cs="Arial"/>
          <w:bCs/>
          <w:i/>
          <w:iCs/>
        </w:rPr>
        <w:t xml:space="preserve"> SCSs and </w:t>
      </w:r>
      <w:r w:rsidR="002535A5">
        <w:rPr>
          <w:rFonts w:ascii="Arial" w:hAnsi="Arial" w:cs="Arial"/>
          <w:bCs/>
          <w:i/>
          <w:iCs/>
        </w:rPr>
        <w:t xml:space="preserve">possibly </w:t>
      </w:r>
      <w:r w:rsidR="00C34163">
        <w:rPr>
          <w:rFonts w:ascii="Arial" w:hAnsi="Arial" w:cs="Arial"/>
          <w:bCs/>
          <w:i/>
          <w:iCs/>
        </w:rPr>
        <w:t>UE</w:t>
      </w:r>
      <w:r w:rsidR="00BD4BE8">
        <w:rPr>
          <w:rFonts w:ascii="Arial" w:hAnsi="Arial" w:cs="Arial"/>
          <w:bCs/>
          <w:i/>
          <w:iCs/>
        </w:rPr>
        <w:t xml:space="preserve"> processing time. </w:t>
      </w:r>
    </w:p>
    <w:p w14:paraId="52474A9B" w14:textId="29D90307" w:rsidR="00472A89" w:rsidRDefault="00472A89" w:rsidP="00472A89">
      <w:pPr>
        <w:spacing w:after="120" w:line="276" w:lineRule="auto"/>
        <w:jc w:val="both"/>
        <w:rPr>
          <w:rFonts w:ascii="Arial" w:hAnsi="Arial" w:cs="Arial"/>
          <w:bCs/>
          <w:i/>
          <w:iCs/>
        </w:rPr>
      </w:pPr>
      <w:r w:rsidRPr="00983ACF">
        <w:rPr>
          <w:rFonts w:ascii="Arial" w:hAnsi="Arial" w:cs="Arial"/>
          <w:b/>
          <w:i/>
          <w:iCs/>
        </w:rPr>
        <w:t xml:space="preserve">Proposal </w:t>
      </w:r>
      <w:r w:rsidR="00BD4BE8">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BD4BE8">
        <w:rPr>
          <w:rFonts w:ascii="Arial" w:hAnsi="Arial" w:cs="Arial"/>
          <w:bCs/>
          <w:i/>
          <w:iCs/>
        </w:rPr>
        <w:t xml:space="preserve">It is preferred to </w:t>
      </w:r>
      <w:r w:rsidR="00C437A8">
        <w:rPr>
          <w:rFonts w:ascii="Arial" w:hAnsi="Arial" w:cs="Arial"/>
          <w:bCs/>
          <w:i/>
          <w:iCs/>
        </w:rPr>
        <w:t>support</w:t>
      </w:r>
      <w:r w:rsidR="00BD4BE8">
        <w:rPr>
          <w:rFonts w:ascii="Arial" w:hAnsi="Arial" w:cs="Arial"/>
          <w:bCs/>
          <w:i/>
          <w:iCs/>
        </w:rPr>
        <w:t xml:space="preserve"> multi-slot level monitoring for general UE </w:t>
      </w:r>
      <w:r w:rsidR="002535A5">
        <w:rPr>
          <w:rFonts w:ascii="Arial" w:hAnsi="Arial" w:cs="Arial"/>
          <w:bCs/>
          <w:i/>
          <w:iCs/>
        </w:rPr>
        <w:t>operation</w:t>
      </w:r>
      <w:r w:rsidR="00BD4BE8" w:rsidRPr="00BD4BE8">
        <w:rPr>
          <w:rFonts w:ascii="Arial" w:hAnsi="Arial" w:cs="Arial"/>
          <w:bCs/>
          <w:i/>
          <w:iCs/>
        </w:rPr>
        <w:t xml:space="preserve">s and per-slot level monitoring </w:t>
      </w:r>
      <w:r w:rsidR="00BD4BE8">
        <w:rPr>
          <w:rFonts w:ascii="Arial" w:hAnsi="Arial" w:cs="Arial"/>
          <w:bCs/>
          <w:i/>
          <w:iCs/>
        </w:rPr>
        <w:t>for</w:t>
      </w:r>
      <w:r w:rsidR="00BD4BE8" w:rsidRPr="00BD4BE8">
        <w:rPr>
          <w:rFonts w:ascii="Arial" w:hAnsi="Arial" w:cs="Arial"/>
          <w:bCs/>
          <w:i/>
          <w:iCs/>
        </w:rPr>
        <w:t xml:space="preserve"> </w:t>
      </w:r>
      <w:r w:rsidR="002535A5">
        <w:rPr>
          <w:rFonts w:ascii="Arial" w:hAnsi="Arial" w:cs="Arial"/>
          <w:bCs/>
          <w:i/>
          <w:iCs/>
        </w:rPr>
        <w:t>low latency operations</w:t>
      </w:r>
      <w:r w:rsidR="00BD4BE8" w:rsidRPr="00BD4BE8">
        <w:rPr>
          <w:rFonts w:ascii="Arial" w:hAnsi="Arial" w:cs="Arial"/>
          <w:bCs/>
          <w:i/>
          <w:iCs/>
        </w:rPr>
        <w:t>.</w:t>
      </w:r>
    </w:p>
    <w:p w14:paraId="4E371229" w14:textId="584EFC73" w:rsidR="005B1D83" w:rsidRDefault="005B1D83" w:rsidP="005B1D83">
      <w:pPr>
        <w:spacing w:after="120" w:line="276" w:lineRule="auto"/>
        <w:jc w:val="both"/>
        <w:rPr>
          <w:rFonts w:ascii="Arial" w:hAnsi="Arial" w:cs="Arial"/>
          <w:bCs/>
        </w:rPr>
      </w:pPr>
      <w:r>
        <w:rPr>
          <w:rFonts w:ascii="Arial" w:hAnsi="Arial" w:cs="Arial"/>
          <w:bCs/>
        </w:rPr>
        <w:t xml:space="preserve">While multi-slot based PDCCH monitoring for additional SCS enables efficient signaling, multi-slot based PDCCH monitoring also reduces PDCCH scheduling flexibility and benefits from low latency. In addition, based on FR2 NR with 120 kHz SCS, single slot based PDCCH monitoring has been already proven feasible in various practical implementations. </w:t>
      </w:r>
    </w:p>
    <w:p w14:paraId="31C09D7D" w14:textId="79110AC1" w:rsidR="005B1D83" w:rsidRPr="003E7395" w:rsidRDefault="005B1D83" w:rsidP="005B1D83">
      <w:pPr>
        <w:spacing w:after="120" w:line="276" w:lineRule="auto"/>
        <w:jc w:val="both"/>
        <w:rPr>
          <w:rFonts w:ascii="Arial" w:hAnsi="Arial" w:cs="Arial"/>
          <w:bCs/>
        </w:rPr>
      </w:pPr>
      <w:r w:rsidRPr="00372577">
        <w:rPr>
          <w:rFonts w:ascii="Arial" w:hAnsi="Arial" w:cs="Arial"/>
          <w:b/>
          <w:i/>
          <w:iCs/>
        </w:rPr>
        <w:t>Observation 3:</w:t>
      </w:r>
      <w:r>
        <w:rPr>
          <w:rFonts w:ascii="Arial" w:hAnsi="Arial" w:cs="Arial"/>
          <w:bCs/>
        </w:rPr>
        <w:t xml:space="preserve"> </w:t>
      </w:r>
      <w:r w:rsidRPr="003E7395">
        <w:rPr>
          <w:rFonts w:ascii="Arial" w:hAnsi="Arial" w:cs="Arial"/>
          <w:bCs/>
          <w:i/>
          <w:iCs/>
        </w:rPr>
        <w:t>Single slot based PDCCH monitoring has been already proven feasible in various practical implementations.</w:t>
      </w:r>
      <w:r>
        <w:rPr>
          <w:rFonts w:ascii="Arial" w:hAnsi="Arial" w:cs="Arial"/>
          <w:bCs/>
        </w:rPr>
        <w:t xml:space="preserve"> </w:t>
      </w:r>
    </w:p>
    <w:p w14:paraId="4566A225" w14:textId="4A528237" w:rsidR="005B1D83" w:rsidRDefault="005B1D83" w:rsidP="005B1D83">
      <w:pPr>
        <w:spacing w:after="120"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3</w:t>
      </w:r>
      <w:r w:rsidRPr="003E7395">
        <w:rPr>
          <w:rFonts w:ascii="Arial" w:hAnsi="Arial" w:cs="Arial"/>
          <w:b/>
          <w:i/>
          <w:iCs/>
        </w:rPr>
        <w:t>:</w:t>
      </w:r>
      <w:r>
        <w:rPr>
          <w:rFonts w:ascii="Arial" w:hAnsi="Arial" w:cs="Arial"/>
          <w:bCs/>
          <w:i/>
          <w:iCs/>
        </w:rPr>
        <w:t xml:space="preserve"> Multi-slot PDCCH monitoring is not supported for the existing SCS of 120 kHz.</w:t>
      </w:r>
    </w:p>
    <w:p w14:paraId="0D674833" w14:textId="77777777" w:rsidR="005B1D83" w:rsidRDefault="005B1D83" w:rsidP="005B1D83">
      <w:pPr>
        <w:spacing w:after="120" w:line="276" w:lineRule="auto"/>
        <w:jc w:val="both"/>
        <w:rPr>
          <w:rFonts w:ascii="Arial" w:hAnsi="Arial" w:cs="Arial"/>
          <w:bCs/>
        </w:rPr>
      </w:pPr>
      <w:r>
        <w:rPr>
          <w:rFonts w:ascii="Arial" w:hAnsi="Arial" w:cs="Arial"/>
          <w:bCs/>
        </w:rPr>
        <w:t xml:space="preserve">In this section, we provide our views on the alternatives discussed for multi-PDCCH monitoring in RAN1#104-e [1]. </w:t>
      </w:r>
    </w:p>
    <w:p w14:paraId="4E498F70" w14:textId="77C9B6A6"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 xml:space="preserve">1: A fixed pattern of X slots. </w:t>
      </w:r>
    </w:p>
    <w:p w14:paraId="77109D64" w14:textId="4778BE09" w:rsidR="005B1D83" w:rsidRPr="0081547B" w:rsidRDefault="005B1D83" w:rsidP="00372577">
      <w:pPr>
        <w:numPr>
          <w:ilvl w:val="1"/>
          <w:numId w:val="49"/>
        </w:numPr>
        <w:spacing w:after="120" w:line="276" w:lineRule="auto"/>
        <w:jc w:val="both"/>
        <w:rPr>
          <w:rFonts w:ascii="Arial" w:hAnsi="Arial" w:cs="Arial"/>
          <w:bCs/>
        </w:rPr>
      </w:pPr>
      <w:r w:rsidRPr="00D12DC9">
        <w:rPr>
          <w:rFonts w:ascii="Arial" w:hAnsi="Arial" w:cs="Arial"/>
          <w:bCs/>
        </w:rPr>
        <w:t>In this alternative, UE</w:t>
      </w:r>
      <w:r w:rsidR="009D7076" w:rsidRPr="00D12DC9">
        <w:rPr>
          <w:rFonts w:ascii="Arial" w:hAnsi="Arial" w:cs="Arial"/>
          <w:bCs/>
        </w:rPr>
        <w:t xml:space="preserve"> considers multiple consecutive X slots as a slot group and monitors PD</w:t>
      </w:r>
      <w:r w:rsidR="009D7076" w:rsidRPr="0081547B">
        <w:rPr>
          <w:rFonts w:ascii="Arial" w:hAnsi="Arial" w:cs="Arial"/>
          <w:bCs/>
        </w:rPr>
        <w:t xml:space="preserve">CCH </w:t>
      </w:r>
      <w:r w:rsidR="009D7076" w:rsidRPr="008055DA">
        <w:rPr>
          <w:rFonts w:ascii="Arial" w:hAnsi="Arial" w:cs="Arial"/>
          <w:bCs/>
        </w:rPr>
        <w:t xml:space="preserve">within first Y </w:t>
      </w:r>
      <w:r w:rsidR="009D7076" w:rsidRPr="00AA4FF2">
        <w:rPr>
          <w:rFonts w:ascii="Arial" w:hAnsi="Arial" w:cs="Arial"/>
          <w:bCs/>
        </w:rPr>
        <w:t>slots</w:t>
      </w:r>
      <w:r w:rsidR="00D12DC9" w:rsidRPr="00AA4FF2">
        <w:rPr>
          <w:rFonts w:ascii="Arial" w:hAnsi="Arial" w:cs="Arial"/>
          <w:bCs/>
        </w:rPr>
        <w:t xml:space="preserve">. </w:t>
      </w:r>
      <w:r w:rsidR="00D12DC9" w:rsidRPr="008351EF">
        <w:rPr>
          <w:rFonts w:ascii="Arial" w:hAnsi="Arial" w:cs="Arial"/>
          <w:bCs/>
        </w:rPr>
        <w:t xml:space="preserve">This </w:t>
      </w:r>
      <w:r w:rsidR="00D12DC9" w:rsidRPr="0081547B">
        <w:rPr>
          <w:rFonts w:ascii="Arial" w:hAnsi="Arial" w:cs="Arial"/>
          <w:bCs/>
        </w:rPr>
        <w:t>alternative may not be relatively efficient than Alt-2 and Alt-3, however, actual implementation of UE PDCCH monitoring will be similar to UE PDCCH monitoring with 120 kHz SCS, if X=4 for 480 kHz SCS and X=8 960 kHz</w:t>
      </w:r>
      <w:r w:rsidR="008055DA">
        <w:rPr>
          <w:rFonts w:ascii="Arial" w:hAnsi="Arial" w:cs="Arial"/>
          <w:bCs/>
        </w:rPr>
        <w:t xml:space="preserve"> and Alt-1 leads to simplest enhancements to support multi-slot PDCCH monitoring</w:t>
      </w:r>
      <w:r w:rsidR="00D12DC9" w:rsidRPr="008055DA">
        <w:rPr>
          <w:rFonts w:ascii="Arial" w:hAnsi="Arial" w:cs="Arial"/>
          <w:bCs/>
        </w:rPr>
        <w:t xml:space="preserve">. </w:t>
      </w:r>
    </w:p>
    <w:p w14:paraId="53730022" w14:textId="594AA54F"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 xml:space="preserve">2: Use </w:t>
      </w:r>
      <w:r w:rsidR="008351EF">
        <w:rPr>
          <w:rFonts w:ascii="Arial" w:hAnsi="Arial" w:cs="Arial"/>
          <w:bCs/>
        </w:rPr>
        <w:t xml:space="preserve">a span </w:t>
      </w:r>
      <w:r w:rsidRPr="005B1D83">
        <w:rPr>
          <w:rFonts w:ascii="Arial" w:hAnsi="Arial" w:cs="Arial"/>
          <w:bCs/>
        </w:rPr>
        <w:t>(</w:t>
      </w:r>
      <w:proofErr w:type="gramStart"/>
      <w:r w:rsidRPr="005B1D83">
        <w:rPr>
          <w:rFonts w:ascii="Arial" w:hAnsi="Arial" w:cs="Arial"/>
          <w:bCs/>
        </w:rPr>
        <w:t>X,Y</w:t>
      </w:r>
      <w:proofErr w:type="gramEnd"/>
      <w:r w:rsidRPr="005B1D83">
        <w:rPr>
          <w:rFonts w:ascii="Arial" w:hAnsi="Arial" w:cs="Arial"/>
          <w:bCs/>
        </w:rPr>
        <w:t>) similar to the Rel-16 capability (</w:t>
      </w:r>
      <w:r w:rsidRPr="005B1D83">
        <w:rPr>
          <w:rFonts w:ascii="Arial" w:hAnsi="Arial" w:cs="Arial"/>
          <w:bCs/>
          <w:i/>
          <w:iCs/>
        </w:rPr>
        <w:t>pdcch-Monitoring-r16</w:t>
      </w:r>
      <w:r w:rsidRPr="005B1D83">
        <w:rPr>
          <w:rFonts w:ascii="Arial" w:hAnsi="Arial" w:cs="Arial"/>
          <w:bCs/>
        </w:rPr>
        <w:t>, (X,Y) span) as the baseline to define the new capability</w:t>
      </w:r>
    </w:p>
    <w:p w14:paraId="7DD90D76" w14:textId="2C965F09" w:rsidR="005B1D83" w:rsidRPr="0081547B" w:rsidRDefault="00D12DC9" w:rsidP="00372577">
      <w:pPr>
        <w:numPr>
          <w:ilvl w:val="1"/>
          <w:numId w:val="49"/>
        </w:numPr>
        <w:spacing w:after="120" w:line="276" w:lineRule="auto"/>
        <w:jc w:val="both"/>
        <w:rPr>
          <w:rFonts w:ascii="Arial" w:hAnsi="Arial" w:cs="Arial"/>
          <w:bCs/>
        </w:rPr>
      </w:pPr>
      <w:r>
        <w:rPr>
          <w:rFonts w:ascii="Arial" w:hAnsi="Arial" w:cs="Arial"/>
          <w:bCs/>
        </w:rPr>
        <w:t>In this alternative, UE monitors PDCCH by using a span with (</w:t>
      </w:r>
      <w:proofErr w:type="gramStart"/>
      <w:r>
        <w:rPr>
          <w:rFonts w:ascii="Arial" w:hAnsi="Arial" w:cs="Arial"/>
          <w:bCs/>
        </w:rPr>
        <w:t>X,Y</w:t>
      </w:r>
      <w:proofErr w:type="gramEnd"/>
      <w:r>
        <w:rPr>
          <w:rFonts w:ascii="Arial" w:hAnsi="Arial" w:cs="Arial"/>
          <w:bCs/>
        </w:rPr>
        <w:t xml:space="preserve">) similar to Rel-16 capability. </w:t>
      </w:r>
      <w:r w:rsidR="00D71525">
        <w:rPr>
          <w:rFonts w:ascii="Arial" w:hAnsi="Arial" w:cs="Arial"/>
          <w:bCs/>
        </w:rPr>
        <w:t>Rel-16 span based monitoring supports based on a span (</w:t>
      </w:r>
      <w:proofErr w:type="gramStart"/>
      <w:r w:rsidR="00D71525">
        <w:rPr>
          <w:rFonts w:ascii="Arial" w:hAnsi="Arial" w:cs="Arial"/>
          <w:bCs/>
        </w:rPr>
        <w:t>X,Y</w:t>
      </w:r>
      <w:proofErr w:type="gramEnd"/>
      <w:r w:rsidR="00D71525">
        <w:rPr>
          <w:rFonts w:ascii="Arial" w:hAnsi="Arial" w:cs="Arial"/>
          <w:bCs/>
        </w:rPr>
        <w:t>) with</w:t>
      </w:r>
      <w:r w:rsidR="00D71525" w:rsidRPr="00D71525">
        <w:rPr>
          <w:rFonts w:ascii="Arial" w:hAnsi="Arial" w:cs="Arial"/>
          <w:bCs/>
        </w:rPr>
        <w:t xml:space="preserve"> </w:t>
      </w:r>
      <w:r w:rsidR="00D71525">
        <w:rPr>
          <w:rFonts w:ascii="Arial" w:hAnsi="Arial" w:cs="Arial"/>
          <w:bCs/>
        </w:rPr>
        <w:t xml:space="preserve">X symbols of the minimum time separation between the two consecutive spans and Y symbols of the maximum duration of the span. </w:t>
      </w:r>
      <w:r w:rsidR="0081547B">
        <w:rPr>
          <w:rFonts w:ascii="Arial" w:hAnsi="Arial" w:cs="Arial"/>
          <w:bCs/>
        </w:rPr>
        <w:t xml:space="preserve">Possible </w:t>
      </w:r>
      <w:r w:rsidR="00D71525">
        <w:rPr>
          <w:rFonts w:ascii="Arial" w:hAnsi="Arial" w:cs="Arial"/>
          <w:bCs/>
        </w:rPr>
        <w:t>enhancement</w:t>
      </w:r>
      <w:r w:rsidR="0081547B">
        <w:rPr>
          <w:rFonts w:ascii="Arial" w:hAnsi="Arial" w:cs="Arial"/>
          <w:bCs/>
        </w:rPr>
        <w:t xml:space="preserve"> </w:t>
      </w:r>
      <w:r w:rsidR="00D71525">
        <w:rPr>
          <w:rFonts w:ascii="Arial" w:hAnsi="Arial" w:cs="Arial"/>
          <w:bCs/>
        </w:rPr>
        <w:t>to support multi-PDCCH monitoring would be</w:t>
      </w:r>
      <w:r w:rsidR="0081547B">
        <w:rPr>
          <w:rFonts w:ascii="Arial" w:hAnsi="Arial" w:cs="Arial"/>
          <w:bCs/>
        </w:rPr>
        <w:t xml:space="preserve"> </w:t>
      </w:r>
      <w:r w:rsidR="00D71525">
        <w:rPr>
          <w:rFonts w:ascii="Arial" w:hAnsi="Arial" w:cs="Arial"/>
          <w:bCs/>
        </w:rPr>
        <w:t>introduction of</w:t>
      </w:r>
      <w:r w:rsidR="0081547B">
        <w:rPr>
          <w:rFonts w:ascii="Arial" w:hAnsi="Arial" w:cs="Arial"/>
          <w:bCs/>
        </w:rPr>
        <w:t xml:space="preserve"> X and/or Y as slots to apply the span concept for multi-slot PDCCH monitoring</w:t>
      </w:r>
      <w:r w:rsidR="00F955F8">
        <w:rPr>
          <w:rFonts w:ascii="Arial" w:hAnsi="Arial" w:cs="Arial"/>
          <w:bCs/>
        </w:rPr>
        <w:t>. The specification impact may be relatively smaller, however, UE implementation may be relatively complex if the UE needs to support multiple applicable values for combination (X,Y) and dynamic adaptation on (X,Y) to efficiently utilize the span concept for multi-slot PDCCH monitoring (e.g., switching between small Y and large Y).</w:t>
      </w:r>
    </w:p>
    <w:p w14:paraId="0AE66467" w14:textId="3678C05A"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3: A sliding window of X=Y slots for defining multi-slot PDCCH monitoring capability</w:t>
      </w:r>
    </w:p>
    <w:p w14:paraId="5178059A" w14:textId="06001208" w:rsidR="0081547B" w:rsidRPr="005B1D83" w:rsidRDefault="0081547B" w:rsidP="00372577">
      <w:pPr>
        <w:numPr>
          <w:ilvl w:val="1"/>
          <w:numId w:val="49"/>
        </w:numPr>
        <w:spacing w:after="120" w:line="276" w:lineRule="auto"/>
        <w:jc w:val="both"/>
        <w:rPr>
          <w:rFonts w:ascii="Arial" w:hAnsi="Arial" w:cs="Arial"/>
          <w:bCs/>
        </w:rPr>
      </w:pPr>
      <w:r>
        <w:rPr>
          <w:rFonts w:ascii="Arial" w:hAnsi="Arial" w:cs="Arial"/>
          <w:bCs/>
        </w:rPr>
        <w:t xml:space="preserve">In this alternative, UE monitors PDCCH by using X-slot sliding window. </w:t>
      </w:r>
      <w:r w:rsidR="00692DE7">
        <w:rPr>
          <w:rFonts w:ascii="Arial" w:hAnsi="Arial" w:cs="Arial"/>
          <w:bCs/>
        </w:rPr>
        <w:t xml:space="preserve">The sliding window based PDCCH monitoring may distribute PDCCH processing loads over multiple </w:t>
      </w:r>
      <w:r w:rsidR="00692DE7">
        <w:rPr>
          <w:rFonts w:ascii="Arial" w:hAnsi="Arial" w:cs="Arial"/>
          <w:bCs/>
        </w:rPr>
        <w:lastRenderedPageBreak/>
        <w:t xml:space="preserve">slots. However, </w:t>
      </w:r>
      <w:r w:rsidR="00F955F8">
        <w:rPr>
          <w:rFonts w:ascii="Arial" w:hAnsi="Arial" w:cs="Arial"/>
          <w:bCs/>
        </w:rPr>
        <w:t xml:space="preserve">if UE-specific slot offsets are applied to Alt-1, </w:t>
      </w:r>
      <w:r w:rsidR="00D71525">
        <w:rPr>
          <w:rFonts w:ascii="Arial" w:hAnsi="Arial" w:cs="Arial"/>
          <w:bCs/>
        </w:rPr>
        <w:t xml:space="preserve">degree of </w:t>
      </w:r>
      <w:r w:rsidR="00F955F8">
        <w:rPr>
          <w:rFonts w:ascii="Arial" w:hAnsi="Arial" w:cs="Arial"/>
          <w:bCs/>
        </w:rPr>
        <w:t xml:space="preserve">distribution on PDCCH processing load </w:t>
      </w:r>
      <w:r w:rsidR="00D71525">
        <w:rPr>
          <w:rFonts w:ascii="Arial" w:hAnsi="Arial" w:cs="Arial"/>
          <w:bCs/>
        </w:rPr>
        <w:t>is doubted</w:t>
      </w:r>
      <w:r w:rsidR="00F955F8">
        <w:rPr>
          <w:rFonts w:ascii="Arial" w:hAnsi="Arial" w:cs="Arial"/>
          <w:bCs/>
        </w:rPr>
        <w:t xml:space="preserve"> in network’s point of view. </w:t>
      </w:r>
    </w:p>
    <w:p w14:paraId="66494635" w14:textId="694ADD3E" w:rsidR="00AA4FF2" w:rsidRPr="003E7395" w:rsidRDefault="00AA4FF2" w:rsidP="00AA4FF2">
      <w:pPr>
        <w:spacing w:after="120" w:line="276" w:lineRule="auto"/>
        <w:jc w:val="both"/>
        <w:rPr>
          <w:rFonts w:ascii="Arial" w:hAnsi="Arial" w:cs="Arial"/>
          <w:bCs/>
        </w:rPr>
      </w:pPr>
      <w:r w:rsidRPr="003E7395">
        <w:rPr>
          <w:rFonts w:ascii="Arial" w:hAnsi="Arial" w:cs="Arial"/>
          <w:b/>
          <w:i/>
          <w:iCs/>
        </w:rPr>
        <w:t xml:space="preserve">Observation </w:t>
      </w:r>
      <w:r>
        <w:rPr>
          <w:rFonts w:ascii="Arial" w:hAnsi="Arial" w:cs="Arial"/>
          <w:b/>
          <w:i/>
          <w:iCs/>
        </w:rPr>
        <w:t>4</w:t>
      </w:r>
      <w:r w:rsidRPr="003E7395">
        <w:rPr>
          <w:rFonts w:ascii="Arial" w:hAnsi="Arial" w:cs="Arial"/>
          <w:b/>
          <w:i/>
          <w:iCs/>
        </w:rPr>
        <w:t>:</w:t>
      </w:r>
      <w:r>
        <w:rPr>
          <w:rFonts w:ascii="Arial" w:hAnsi="Arial" w:cs="Arial"/>
          <w:bCs/>
        </w:rPr>
        <w:t xml:space="preserve"> </w:t>
      </w:r>
      <w:r>
        <w:rPr>
          <w:rFonts w:ascii="Arial" w:hAnsi="Arial" w:cs="Arial"/>
          <w:bCs/>
          <w:i/>
          <w:iCs/>
        </w:rPr>
        <w:t>A fixed pattern of X slots (Alt-1) provides simplest PDCCH monitoring similar to UE PDCCH monitoring with 120 kHz SCS while span based monitoring (Alt-2) and sliding window based monitoring (Alt-3) may achieve more efficient PDCCH monitoring</w:t>
      </w:r>
      <w:r w:rsidR="00F955F8">
        <w:rPr>
          <w:rFonts w:ascii="Arial" w:hAnsi="Arial" w:cs="Arial"/>
          <w:bCs/>
          <w:i/>
          <w:iCs/>
        </w:rPr>
        <w:t xml:space="preserve"> with </w:t>
      </w:r>
      <w:r w:rsidR="00FC10F7">
        <w:rPr>
          <w:rFonts w:ascii="Arial" w:hAnsi="Arial" w:cs="Arial"/>
          <w:bCs/>
          <w:i/>
          <w:iCs/>
        </w:rPr>
        <w:t xml:space="preserve">more </w:t>
      </w:r>
      <w:r w:rsidR="00F955F8">
        <w:rPr>
          <w:rFonts w:ascii="Arial" w:hAnsi="Arial" w:cs="Arial"/>
          <w:bCs/>
          <w:i/>
          <w:iCs/>
        </w:rPr>
        <w:t>complex UE implementation</w:t>
      </w:r>
      <w:r>
        <w:rPr>
          <w:rFonts w:ascii="Arial" w:hAnsi="Arial" w:cs="Arial"/>
          <w:bCs/>
          <w:i/>
          <w:iCs/>
        </w:rPr>
        <w:t>.</w:t>
      </w:r>
    </w:p>
    <w:p w14:paraId="780DFCF1" w14:textId="77777777" w:rsidR="00AA4FF2" w:rsidRDefault="00AA4FF2" w:rsidP="00AA4FF2">
      <w:pPr>
        <w:spacing w:after="120"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4</w:t>
      </w:r>
      <w:r w:rsidRPr="003E7395">
        <w:rPr>
          <w:rFonts w:ascii="Arial" w:hAnsi="Arial" w:cs="Arial"/>
          <w:b/>
          <w:i/>
          <w:iCs/>
        </w:rPr>
        <w:t>:</w:t>
      </w:r>
      <w:r>
        <w:rPr>
          <w:rFonts w:ascii="Arial" w:hAnsi="Arial" w:cs="Arial"/>
          <w:bCs/>
          <w:i/>
          <w:iCs/>
        </w:rPr>
        <w:t xml:space="preserve"> It is preferred to support a fixed pattern of X slots (Alt-1).</w:t>
      </w:r>
    </w:p>
    <w:p w14:paraId="24174BE7" w14:textId="65A13BD0" w:rsidR="00AA4FF2" w:rsidRDefault="00AA4FF2" w:rsidP="00AA4FF2">
      <w:pPr>
        <w:spacing w:after="120" w:line="276" w:lineRule="auto"/>
        <w:jc w:val="both"/>
        <w:rPr>
          <w:rFonts w:ascii="Arial" w:hAnsi="Arial" w:cs="Arial"/>
          <w:bCs/>
          <w:i/>
          <w:iCs/>
        </w:rPr>
      </w:pPr>
      <w:r w:rsidRPr="00372577">
        <w:rPr>
          <w:rFonts w:ascii="Arial" w:hAnsi="Arial" w:cs="Arial"/>
          <w:b/>
          <w:i/>
          <w:iCs/>
        </w:rPr>
        <w:t>Proposal 5:</w:t>
      </w:r>
      <w:r>
        <w:rPr>
          <w:rFonts w:ascii="Arial" w:hAnsi="Arial" w:cs="Arial"/>
          <w:bCs/>
          <w:i/>
          <w:iCs/>
        </w:rPr>
        <w:t xml:space="preserve"> If needed, additionally </w:t>
      </w:r>
      <w:r w:rsidR="00F955F8">
        <w:rPr>
          <w:rFonts w:ascii="Arial" w:hAnsi="Arial" w:cs="Arial"/>
          <w:bCs/>
          <w:i/>
          <w:iCs/>
        </w:rPr>
        <w:t>consider</w:t>
      </w:r>
      <w:r>
        <w:rPr>
          <w:rFonts w:ascii="Arial" w:hAnsi="Arial" w:cs="Arial"/>
          <w:bCs/>
          <w:i/>
          <w:iCs/>
        </w:rPr>
        <w:t xml:space="preserve"> one of </w:t>
      </w:r>
      <w:proofErr w:type="gramStart"/>
      <w:r>
        <w:rPr>
          <w:rFonts w:ascii="Arial" w:hAnsi="Arial" w:cs="Arial"/>
          <w:bCs/>
          <w:i/>
          <w:iCs/>
        </w:rPr>
        <w:t>span based</w:t>
      </w:r>
      <w:proofErr w:type="gramEnd"/>
      <w:r>
        <w:rPr>
          <w:rFonts w:ascii="Arial" w:hAnsi="Arial" w:cs="Arial"/>
          <w:bCs/>
          <w:i/>
          <w:iCs/>
        </w:rPr>
        <w:t xml:space="preserve"> monitoring or sliding window based monitoring for 480 kHz and 960 kHz.</w:t>
      </w:r>
    </w:p>
    <w:p w14:paraId="57AD3EEA" w14:textId="77777777" w:rsidR="00AA4FF2" w:rsidRDefault="00AA4FF2" w:rsidP="00472A89">
      <w:pPr>
        <w:spacing w:after="120" w:line="276" w:lineRule="auto"/>
        <w:jc w:val="both"/>
        <w:rPr>
          <w:rFonts w:ascii="Arial" w:hAnsi="Arial" w:cs="Arial"/>
          <w:bCs/>
          <w:i/>
          <w:iCs/>
        </w:rPr>
      </w:pP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1D9BFEE0"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A4353A">
        <w:rPr>
          <w:rFonts w:ascii="Arial" w:hAnsi="Arial" w:cs="Arial"/>
        </w:rPr>
        <w:t>for</w:t>
      </w:r>
      <w:r w:rsidR="00B22CAE" w:rsidRPr="003E37E3">
        <w:rPr>
          <w:rFonts w:ascii="Arial" w:hAnsi="Arial" w:cs="Arial"/>
        </w:rPr>
        <w:t xml:space="preserve"> </w:t>
      </w:r>
      <w:r w:rsidR="00A13DE4">
        <w:rPr>
          <w:rFonts w:ascii="Arial" w:hAnsi="Arial" w:cs="Arial"/>
        </w:rPr>
        <w:t>PDCCH monitoring</w:t>
      </w:r>
      <w:r w:rsidR="00B22CAE" w:rsidRPr="003E37E3">
        <w:rPr>
          <w:rFonts w:ascii="Arial" w:hAnsi="Arial" w:cs="Arial"/>
        </w:rPr>
        <w:t xml:space="preserve"> </w:t>
      </w:r>
      <w:r w:rsidR="00A4353A">
        <w:rPr>
          <w:rFonts w:ascii="Arial" w:hAnsi="Arial" w:cs="Arial"/>
        </w:rPr>
        <w:t>enhancements of NR in 52.6</w:t>
      </w:r>
      <w:r w:rsidR="00A4353A">
        <w:rPr>
          <w:rFonts w:ascii="Arial" w:hAnsi="Arial" w:cs="Arial"/>
          <w:bCs/>
          <w:i/>
          <w:iCs/>
        </w:rPr>
        <w:t xml:space="preserve"> – </w:t>
      </w:r>
      <w:r w:rsidR="00B22CAE" w:rsidRPr="003E37E3">
        <w:rPr>
          <w:rFonts w:ascii="Arial" w:hAnsi="Arial" w:cs="Arial"/>
        </w:rPr>
        <w:t>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0F01456" w14:textId="77777777" w:rsidR="00FB2AF9" w:rsidRPr="00983ACF" w:rsidRDefault="00FB2AF9" w:rsidP="00FB2AF9">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For NR in 52.6 – 71 GHz, most of identified use cases require low latency as a key requirement, however, benefits from low latency and possible use cases significantly reduce if only multi-slot based PDCCH monitoring is supported. </w:t>
      </w:r>
    </w:p>
    <w:p w14:paraId="64CEB11F" w14:textId="77777777" w:rsidR="002535A5" w:rsidRDefault="002535A5" w:rsidP="002535A5">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Per-slot level monitoring requires a more complex UE implementation due to reduced slot durations of high SCSs and possibly UE processing time. </w:t>
      </w:r>
    </w:p>
    <w:p w14:paraId="197A33F7" w14:textId="09BC91F2" w:rsidR="008055DA" w:rsidRDefault="008055DA" w:rsidP="008055DA">
      <w:pPr>
        <w:spacing w:after="120" w:line="276" w:lineRule="auto"/>
        <w:jc w:val="both"/>
        <w:rPr>
          <w:rFonts w:ascii="Arial" w:hAnsi="Arial" w:cs="Arial"/>
          <w:bCs/>
        </w:rPr>
      </w:pPr>
      <w:r w:rsidRPr="003E7395">
        <w:rPr>
          <w:rFonts w:ascii="Arial" w:hAnsi="Arial" w:cs="Arial"/>
          <w:b/>
          <w:i/>
          <w:iCs/>
        </w:rPr>
        <w:t>Observation 3:</w:t>
      </w:r>
      <w:r>
        <w:rPr>
          <w:rFonts w:ascii="Arial" w:hAnsi="Arial" w:cs="Arial"/>
          <w:bCs/>
        </w:rPr>
        <w:t xml:space="preserve"> </w:t>
      </w:r>
      <w:r w:rsidRPr="003E7395">
        <w:rPr>
          <w:rFonts w:ascii="Arial" w:hAnsi="Arial" w:cs="Arial"/>
          <w:bCs/>
          <w:i/>
          <w:iCs/>
        </w:rPr>
        <w:t>Single slot based PDCCH monitoring has been already proven feasible in various practical implementations.</w:t>
      </w:r>
      <w:r>
        <w:rPr>
          <w:rFonts w:ascii="Arial" w:hAnsi="Arial" w:cs="Arial"/>
          <w:bCs/>
        </w:rPr>
        <w:t xml:space="preserve"> </w:t>
      </w:r>
    </w:p>
    <w:p w14:paraId="12CE0A16" w14:textId="77777777" w:rsidR="00051442" w:rsidRPr="003E7395" w:rsidRDefault="00051442" w:rsidP="00051442">
      <w:pPr>
        <w:spacing w:after="120" w:line="276" w:lineRule="auto"/>
        <w:jc w:val="both"/>
        <w:rPr>
          <w:rFonts w:ascii="Arial" w:hAnsi="Arial" w:cs="Arial"/>
          <w:bCs/>
        </w:rPr>
      </w:pPr>
      <w:r w:rsidRPr="003E7395">
        <w:rPr>
          <w:rFonts w:ascii="Arial" w:hAnsi="Arial" w:cs="Arial"/>
          <w:b/>
          <w:i/>
          <w:iCs/>
        </w:rPr>
        <w:t xml:space="preserve">Observation </w:t>
      </w:r>
      <w:r>
        <w:rPr>
          <w:rFonts w:ascii="Arial" w:hAnsi="Arial" w:cs="Arial"/>
          <w:b/>
          <w:i/>
          <w:iCs/>
        </w:rPr>
        <w:t>4</w:t>
      </w:r>
      <w:r w:rsidRPr="003E7395">
        <w:rPr>
          <w:rFonts w:ascii="Arial" w:hAnsi="Arial" w:cs="Arial"/>
          <w:b/>
          <w:i/>
          <w:iCs/>
        </w:rPr>
        <w:t>:</w:t>
      </w:r>
      <w:r>
        <w:rPr>
          <w:rFonts w:ascii="Arial" w:hAnsi="Arial" w:cs="Arial"/>
          <w:bCs/>
        </w:rPr>
        <w:t xml:space="preserve"> </w:t>
      </w:r>
      <w:r>
        <w:rPr>
          <w:rFonts w:ascii="Arial" w:hAnsi="Arial" w:cs="Arial"/>
          <w:bCs/>
          <w:i/>
          <w:iCs/>
        </w:rPr>
        <w:t>A fixed pattern of X slots (Alt-1) provides simplest PDCCH monitoring similar to UE PDCCH monitoring with 120 kHz SCS while span based monitoring (Alt-2) and sliding window based monitoring (Alt-3) may achieve more efficient PDCCH monitoring with more complex UE implementation.</w:t>
      </w:r>
    </w:p>
    <w:p w14:paraId="3E02E774" w14:textId="77777777" w:rsidR="00A13DE4" w:rsidRDefault="00A13DE4" w:rsidP="00A13DE4">
      <w:pPr>
        <w:spacing w:after="120" w:line="276" w:lineRule="auto"/>
        <w:jc w:val="both"/>
        <w:rPr>
          <w:rFonts w:ascii="Arial" w:hAnsi="Arial" w:cs="Arial"/>
          <w:b/>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Support both per-slot level monitoring and multi-slot level monitoring for transmission and reception</w:t>
      </w:r>
      <w:r w:rsidRPr="00791307">
        <w:rPr>
          <w:rFonts w:ascii="Arial" w:hAnsi="Arial" w:cs="Arial"/>
          <w:bCs/>
          <w:i/>
          <w:iCs/>
        </w:rPr>
        <w:t>.</w:t>
      </w:r>
      <w:r w:rsidRPr="00A13DE4">
        <w:rPr>
          <w:rFonts w:ascii="Arial" w:hAnsi="Arial" w:cs="Arial"/>
          <w:b/>
          <w:i/>
          <w:iCs/>
        </w:rPr>
        <w:t xml:space="preserve"> </w:t>
      </w:r>
    </w:p>
    <w:p w14:paraId="0F882BC1" w14:textId="77777777" w:rsidR="002535A5" w:rsidRDefault="002535A5" w:rsidP="002535A5">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multi-slot level monitoring for general UE operation</w:t>
      </w:r>
      <w:r w:rsidRPr="00BD4BE8">
        <w:rPr>
          <w:rFonts w:ascii="Arial" w:hAnsi="Arial" w:cs="Arial"/>
          <w:bCs/>
          <w:i/>
          <w:iCs/>
        </w:rPr>
        <w:t xml:space="preserve">s and per-slot level monitoring </w:t>
      </w:r>
      <w:r>
        <w:rPr>
          <w:rFonts w:ascii="Arial" w:hAnsi="Arial" w:cs="Arial"/>
          <w:bCs/>
          <w:i/>
          <w:iCs/>
        </w:rPr>
        <w:t>for</w:t>
      </w:r>
      <w:r w:rsidRPr="00BD4BE8">
        <w:rPr>
          <w:rFonts w:ascii="Arial" w:hAnsi="Arial" w:cs="Arial"/>
          <w:bCs/>
          <w:i/>
          <w:iCs/>
        </w:rPr>
        <w:t xml:space="preserve"> </w:t>
      </w:r>
      <w:r>
        <w:rPr>
          <w:rFonts w:ascii="Arial" w:hAnsi="Arial" w:cs="Arial"/>
          <w:bCs/>
          <w:i/>
          <w:iCs/>
        </w:rPr>
        <w:t>low latency operations</w:t>
      </w:r>
      <w:r w:rsidRPr="00BD4BE8">
        <w:rPr>
          <w:rFonts w:ascii="Arial" w:hAnsi="Arial" w:cs="Arial"/>
          <w:bCs/>
          <w:i/>
          <w:iCs/>
        </w:rPr>
        <w:t>.</w:t>
      </w:r>
    </w:p>
    <w:p w14:paraId="261A3A67" w14:textId="145B518E" w:rsidR="008055DA" w:rsidRDefault="008055DA" w:rsidP="008055DA">
      <w:pPr>
        <w:spacing w:after="120"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3</w:t>
      </w:r>
      <w:r w:rsidRPr="003E7395">
        <w:rPr>
          <w:rFonts w:ascii="Arial" w:hAnsi="Arial" w:cs="Arial"/>
          <w:b/>
          <w:i/>
          <w:iCs/>
        </w:rPr>
        <w:t>:</w:t>
      </w:r>
      <w:r>
        <w:rPr>
          <w:rFonts w:ascii="Arial" w:hAnsi="Arial" w:cs="Arial"/>
          <w:bCs/>
          <w:i/>
          <w:iCs/>
        </w:rPr>
        <w:t xml:space="preserve"> Multi-slot PDCCH monitoring is not supported for the existing SCS of 120 kHz.</w:t>
      </w:r>
    </w:p>
    <w:p w14:paraId="787D745A" w14:textId="77777777" w:rsidR="00AA4FF2" w:rsidRDefault="00AA4FF2" w:rsidP="00AA4FF2">
      <w:pPr>
        <w:spacing w:after="120"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4</w:t>
      </w:r>
      <w:r w:rsidRPr="003E7395">
        <w:rPr>
          <w:rFonts w:ascii="Arial" w:hAnsi="Arial" w:cs="Arial"/>
          <w:b/>
          <w:i/>
          <w:iCs/>
        </w:rPr>
        <w:t>:</w:t>
      </w:r>
      <w:r>
        <w:rPr>
          <w:rFonts w:ascii="Arial" w:hAnsi="Arial" w:cs="Arial"/>
          <w:bCs/>
          <w:i/>
          <w:iCs/>
        </w:rPr>
        <w:t xml:space="preserve"> It is preferred to support a fixed pattern of X slots (Alt-1).</w:t>
      </w:r>
    </w:p>
    <w:p w14:paraId="2DF5299D" w14:textId="77777777" w:rsidR="00527AF5" w:rsidRDefault="00527AF5" w:rsidP="00527AF5">
      <w:pPr>
        <w:spacing w:after="120" w:line="276" w:lineRule="auto"/>
        <w:jc w:val="both"/>
        <w:rPr>
          <w:rFonts w:ascii="Arial" w:hAnsi="Arial" w:cs="Arial"/>
          <w:bCs/>
          <w:i/>
          <w:iCs/>
        </w:rPr>
      </w:pPr>
      <w:r w:rsidRPr="007C152F">
        <w:rPr>
          <w:rFonts w:ascii="Arial" w:hAnsi="Arial" w:cs="Arial"/>
          <w:b/>
          <w:i/>
          <w:iCs/>
        </w:rPr>
        <w:t>Proposal 5:</w:t>
      </w:r>
      <w:r>
        <w:rPr>
          <w:rFonts w:ascii="Arial" w:hAnsi="Arial" w:cs="Arial"/>
          <w:bCs/>
          <w:i/>
          <w:iCs/>
        </w:rPr>
        <w:t xml:space="preserve"> If needed, additionally consider one of </w:t>
      </w:r>
      <w:proofErr w:type="gramStart"/>
      <w:r>
        <w:rPr>
          <w:rFonts w:ascii="Arial" w:hAnsi="Arial" w:cs="Arial"/>
          <w:bCs/>
          <w:i/>
          <w:iCs/>
        </w:rPr>
        <w:t>span based</w:t>
      </w:r>
      <w:proofErr w:type="gramEnd"/>
      <w:r>
        <w:rPr>
          <w:rFonts w:ascii="Arial" w:hAnsi="Arial" w:cs="Arial"/>
          <w:bCs/>
          <w:i/>
          <w:iCs/>
        </w:rPr>
        <w:t xml:space="preserve"> monitoring or sliding window based monitoring for 480 kHz and 960 kHz.</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3561C39" w14:textId="017C5C9C" w:rsidR="00472A89" w:rsidRPr="00372577" w:rsidRDefault="00196869" w:rsidP="00372577">
      <w:pPr>
        <w:pStyle w:val="ListParagraph"/>
        <w:numPr>
          <w:ilvl w:val="0"/>
          <w:numId w:val="10"/>
        </w:numPr>
        <w:spacing w:after="80"/>
        <w:ind w:left="360" w:hanging="360"/>
        <w:rPr>
          <w:rFonts w:ascii="Arial" w:hAnsi="Arial" w:cs="Arial"/>
        </w:rPr>
      </w:pPr>
      <w:bookmarkStart w:id="4" w:name="_Ref521518965"/>
      <w:r w:rsidRPr="005C7372">
        <w:rPr>
          <w:rFonts w:ascii="Arial" w:eastAsia="SimSun" w:hAnsi="Arial" w:cs="Arial"/>
          <w:color w:val="000000"/>
          <w:lang w:eastAsia="en-US"/>
        </w:rPr>
        <w:t xml:space="preserve">“Final </w:t>
      </w:r>
      <w:r w:rsidRPr="005C7372">
        <w:rPr>
          <w:rFonts w:ascii="Arial" w:hAnsi="Arial" w:cs="Arial"/>
        </w:rPr>
        <w:t>Report</w:t>
      </w:r>
      <w:r w:rsidRPr="005C7372">
        <w:rPr>
          <w:rFonts w:ascii="Arial" w:eastAsia="SimSun" w:hAnsi="Arial" w:cs="Arial"/>
          <w:color w:val="000000"/>
          <w:lang w:eastAsia="en-US"/>
        </w:rPr>
        <w:t xml:space="preserve"> of 3GPP TSG RAN WG1 #104-e”, 3GPP RAN1 Meeting #104-e, e-Meeting, January 25th – February 5th, 2021</w:t>
      </w:r>
    </w:p>
    <w:p w14:paraId="400C6181" w14:textId="2374D1EB" w:rsidR="00163644" w:rsidRPr="00372577" w:rsidRDefault="007528CF" w:rsidP="008E2517">
      <w:pPr>
        <w:pStyle w:val="Default"/>
        <w:numPr>
          <w:ilvl w:val="0"/>
          <w:numId w:val="10"/>
        </w:numPr>
        <w:rPr>
          <w:rFonts w:ascii="Arial" w:hAnsi="Arial" w:cs="Arial"/>
          <w:sz w:val="22"/>
          <w:szCs w:val="22"/>
        </w:rPr>
      </w:pPr>
      <w:r w:rsidRPr="005C7372">
        <w:rPr>
          <w:rFonts w:ascii="Arial" w:hAnsi="Arial" w:cs="Arial"/>
          <w:sz w:val="22"/>
          <w:szCs w:val="22"/>
        </w:rPr>
        <w:t>3GPP TR 38.807 (v16.0.0): “Study on requirements for NR beyond 52.6 GHz (Release 16)”</w:t>
      </w:r>
      <w:bookmarkEnd w:id="4"/>
    </w:p>
    <w:p w14:paraId="50AB4CBC" w14:textId="2454207C" w:rsidR="00F91548" w:rsidRPr="005C7372" w:rsidRDefault="00472A89" w:rsidP="00A13DE4">
      <w:pPr>
        <w:pStyle w:val="Default"/>
        <w:numPr>
          <w:ilvl w:val="0"/>
          <w:numId w:val="10"/>
        </w:numPr>
        <w:rPr>
          <w:rFonts w:ascii="Arial" w:hAnsi="Arial" w:cs="Arial"/>
          <w:sz w:val="22"/>
          <w:szCs w:val="22"/>
        </w:rPr>
      </w:pPr>
      <w:r w:rsidRPr="005C7372">
        <w:rPr>
          <w:rFonts w:ascii="Arial" w:hAnsi="Arial" w:cs="Arial"/>
          <w:sz w:val="22"/>
          <w:szCs w:val="22"/>
        </w:rPr>
        <w:t>3GPP TS 38.213 (v16.4.0), “Physical layer procedures for control (Release 16)”</w:t>
      </w:r>
      <w:r w:rsidR="005F3E69" w:rsidRPr="005C7372">
        <w:rPr>
          <w:rFonts w:ascii="Arial" w:hAnsi="Arial" w:cs="Arial"/>
          <w:sz w:val="22"/>
          <w:szCs w:val="22"/>
        </w:rPr>
        <w:t>.</w:t>
      </w:r>
    </w:p>
    <w:p w14:paraId="5317BDDB" w14:textId="570522D8"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A7CE0" w14:textId="77777777" w:rsidR="00122174" w:rsidRDefault="00122174">
      <w:r>
        <w:separator/>
      </w:r>
    </w:p>
  </w:endnote>
  <w:endnote w:type="continuationSeparator" w:id="0">
    <w:p w14:paraId="23DD6187" w14:textId="77777777" w:rsidR="00122174" w:rsidRDefault="00122174">
      <w:r>
        <w:continuationSeparator/>
      </w:r>
    </w:p>
  </w:endnote>
  <w:endnote w:type="continuationNotice" w:id="1">
    <w:p w14:paraId="569C2827" w14:textId="77777777" w:rsidR="00122174" w:rsidRDefault="00122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DC180" w14:textId="77777777" w:rsidR="00122174" w:rsidRDefault="00122174">
      <w:r>
        <w:separator/>
      </w:r>
    </w:p>
  </w:footnote>
  <w:footnote w:type="continuationSeparator" w:id="0">
    <w:p w14:paraId="5F423355" w14:textId="77777777" w:rsidR="00122174" w:rsidRDefault="00122174">
      <w:r>
        <w:continuationSeparator/>
      </w:r>
    </w:p>
  </w:footnote>
  <w:footnote w:type="continuationNotice" w:id="1">
    <w:p w14:paraId="79D15110" w14:textId="77777777" w:rsidR="00122174" w:rsidRDefault="001221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20"/>
  </w:num>
  <w:num w:numId="4">
    <w:abstractNumId w:val="21"/>
  </w:num>
  <w:num w:numId="5">
    <w:abstractNumId w:val="13"/>
  </w:num>
  <w:num w:numId="6">
    <w:abstractNumId w:val="22"/>
  </w:num>
  <w:num w:numId="7">
    <w:abstractNumId w:val="32"/>
  </w:num>
  <w:num w:numId="8">
    <w:abstractNumId w:val="14"/>
  </w:num>
  <w:num w:numId="9">
    <w:abstractNumId w:val="40"/>
  </w:num>
  <w:num w:numId="10">
    <w:abstractNumId w:val="18"/>
  </w:num>
  <w:num w:numId="11">
    <w:abstractNumId w:val="35"/>
  </w:num>
  <w:num w:numId="12">
    <w:abstractNumId w:val="29"/>
  </w:num>
  <w:num w:numId="13">
    <w:abstractNumId w:val="41"/>
  </w:num>
  <w:num w:numId="14">
    <w:abstractNumId w:val="16"/>
  </w:num>
  <w:num w:numId="15">
    <w:abstractNumId w:val="11"/>
  </w:num>
  <w:num w:numId="16">
    <w:abstractNumId w:val="39"/>
  </w:num>
  <w:num w:numId="17">
    <w:abstractNumId w:val="9"/>
  </w:num>
  <w:num w:numId="18">
    <w:abstractNumId w:val="36"/>
  </w:num>
  <w:num w:numId="19">
    <w:abstractNumId w:val="5"/>
  </w:num>
  <w:num w:numId="20">
    <w:abstractNumId w:val="3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6"/>
  </w:num>
  <w:num w:numId="28">
    <w:abstractNumId w:val="27"/>
  </w:num>
  <w:num w:numId="29">
    <w:abstractNumId w:val="37"/>
  </w:num>
  <w:num w:numId="30">
    <w:abstractNumId w:val="33"/>
  </w:num>
  <w:num w:numId="31">
    <w:abstractNumId w:val="4"/>
  </w:num>
  <w:num w:numId="32">
    <w:abstractNumId w:val="2"/>
  </w:num>
  <w:num w:numId="33">
    <w:abstractNumId w:val="7"/>
  </w:num>
  <w:num w:numId="34">
    <w:abstractNumId w:val="3"/>
  </w:num>
  <w:num w:numId="35">
    <w:abstractNumId w:val="17"/>
  </w:num>
  <w:num w:numId="36">
    <w:abstractNumId w:val="34"/>
  </w:num>
  <w:num w:numId="37">
    <w:abstractNumId w:val="38"/>
  </w:num>
  <w:num w:numId="38">
    <w:abstractNumId w:val="24"/>
  </w:num>
  <w:num w:numId="39">
    <w:abstractNumId w:val="30"/>
  </w:num>
  <w:num w:numId="40">
    <w:abstractNumId w:val="23"/>
  </w:num>
  <w:num w:numId="41">
    <w:abstractNumId w:val="0"/>
  </w:num>
  <w:num w:numId="42">
    <w:abstractNumId w:val="19"/>
  </w:num>
  <w:num w:numId="43">
    <w:abstractNumId w:val="1"/>
  </w:num>
  <w:num w:numId="44">
    <w:abstractNumId w:val="1"/>
  </w:num>
  <w:num w:numId="45">
    <w:abstractNumId w:val="28"/>
  </w:num>
  <w:num w:numId="46">
    <w:abstractNumId w:val="10"/>
  </w:num>
  <w:num w:numId="47">
    <w:abstractNumId w:val="12"/>
  </w:num>
  <w:num w:numId="48">
    <w:abstractNumId w:val="8"/>
  </w:num>
  <w:num w:numId="4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B70"/>
    <w:rsid w:val="00034C15"/>
    <w:rsid w:val="000359A3"/>
    <w:rsid w:val="00035EA8"/>
    <w:rsid w:val="00035F74"/>
    <w:rsid w:val="000363B2"/>
    <w:rsid w:val="000369F9"/>
    <w:rsid w:val="00036BA1"/>
    <w:rsid w:val="0003784D"/>
    <w:rsid w:val="00037B91"/>
    <w:rsid w:val="00040254"/>
    <w:rsid w:val="000405A0"/>
    <w:rsid w:val="00040B2C"/>
    <w:rsid w:val="00040B73"/>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442"/>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B3F"/>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5CA"/>
    <w:rsid w:val="0012169D"/>
    <w:rsid w:val="0012189E"/>
    <w:rsid w:val="001218CE"/>
    <w:rsid w:val="001219F5"/>
    <w:rsid w:val="00121A20"/>
    <w:rsid w:val="00121D09"/>
    <w:rsid w:val="00122174"/>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77092"/>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6E9"/>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6869"/>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C7E35"/>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4F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4E4F"/>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5A5"/>
    <w:rsid w:val="002536A0"/>
    <w:rsid w:val="002538EB"/>
    <w:rsid w:val="00253EAF"/>
    <w:rsid w:val="00254623"/>
    <w:rsid w:val="00254CA7"/>
    <w:rsid w:val="00255074"/>
    <w:rsid w:val="0025555E"/>
    <w:rsid w:val="00255D36"/>
    <w:rsid w:val="00257543"/>
    <w:rsid w:val="002577E6"/>
    <w:rsid w:val="00257A72"/>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3BE4"/>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577"/>
    <w:rsid w:val="00372AAF"/>
    <w:rsid w:val="0037369F"/>
    <w:rsid w:val="00373969"/>
    <w:rsid w:val="00373CD5"/>
    <w:rsid w:val="00373F21"/>
    <w:rsid w:val="003742AC"/>
    <w:rsid w:val="003744CE"/>
    <w:rsid w:val="00374F8B"/>
    <w:rsid w:val="00375331"/>
    <w:rsid w:val="00375719"/>
    <w:rsid w:val="00375955"/>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1F23"/>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16D"/>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C4C"/>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18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2AC"/>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A89"/>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6ED"/>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AF5"/>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CC"/>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609"/>
    <w:rsid w:val="0059779B"/>
    <w:rsid w:val="00597B77"/>
    <w:rsid w:val="00597CB0"/>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D83"/>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372"/>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6B32"/>
    <w:rsid w:val="005D7271"/>
    <w:rsid w:val="005D770E"/>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CE9"/>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DE7"/>
    <w:rsid w:val="00692E40"/>
    <w:rsid w:val="006931AC"/>
    <w:rsid w:val="00693BE3"/>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71"/>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26D"/>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4CFD"/>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526"/>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24B"/>
    <w:rsid w:val="00793339"/>
    <w:rsid w:val="0079357F"/>
    <w:rsid w:val="007938D6"/>
    <w:rsid w:val="00793CD8"/>
    <w:rsid w:val="007942F8"/>
    <w:rsid w:val="00794596"/>
    <w:rsid w:val="00794BA7"/>
    <w:rsid w:val="00794C40"/>
    <w:rsid w:val="00794E4D"/>
    <w:rsid w:val="00794F1E"/>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5DA"/>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4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1EF"/>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4D5"/>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473"/>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5EF4"/>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6DC7"/>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A9"/>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076"/>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DE4"/>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51A"/>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53A"/>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88F"/>
    <w:rsid w:val="00A85A38"/>
    <w:rsid w:val="00A85D63"/>
    <w:rsid w:val="00A861C1"/>
    <w:rsid w:val="00A865BE"/>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455"/>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4FF2"/>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EC3"/>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4308"/>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BDB"/>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BE8"/>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C00"/>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163"/>
    <w:rsid w:val="00C3443D"/>
    <w:rsid w:val="00C34465"/>
    <w:rsid w:val="00C348D9"/>
    <w:rsid w:val="00C34BA3"/>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7A8"/>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37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DED"/>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36E"/>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C9"/>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525"/>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7A6"/>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4F8"/>
    <w:rsid w:val="00EB0523"/>
    <w:rsid w:val="00EB077B"/>
    <w:rsid w:val="00EB0A8D"/>
    <w:rsid w:val="00EB0D24"/>
    <w:rsid w:val="00EB15E6"/>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55F8"/>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AF9"/>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F7"/>
    <w:rsid w:val="00FC186B"/>
    <w:rsid w:val="00FC1DCB"/>
    <w:rsid w:val="00FC2019"/>
    <w:rsid w:val="00FC24E7"/>
    <w:rsid w:val="00FC2E17"/>
    <w:rsid w:val="00FC3355"/>
    <w:rsid w:val="00FC35B9"/>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57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372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5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397CE-1DF6-4E3B-BE56-DFF79A80E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e32f50e1-6846-4d7d-ad60-ccd6877e6c5e"/>
    <ds:schemaRef ds:uri="5a888943-97ca-4c93-b605-714bb5e9e285"/>
    <ds:schemaRef ds:uri="http://purl.org/dc/dcmitype/"/>
  </ds:schemaRefs>
</ds:datastoreItem>
</file>

<file path=customXml/itemProps3.xml><?xml version="1.0" encoding="utf-8"?>
<ds:datastoreItem xmlns:ds="http://schemas.openxmlformats.org/officeDocument/2006/customXml" ds:itemID="{6DA02079-1A7B-444E-971F-DC4209D77853}">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2021-04-06T18:09:00Z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